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3AC3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附件1.招租铺面明细</w:t>
      </w:r>
    </w:p>
    <w:tbl>
      <w:tblPr>
        <w:tblStyle w:val="3"/>
        <w:tblW w:w="5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747"/>
        <w:gridCol w:w="1148"/>
        <w:gridCol w:w="1100"/>
        <w:gridCol w:w="1177"/>
        <w:gridCol w:w="1355"/>
        <w:gridCol w:w="1116"/>
        <w:gridCol w:w="1467"/>
        <w:gridCol w:w="762"/>
      </w:tblGrid>
      <w:tr w14:paraId="0064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BEE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招租人：绵阳新投实业有限责任公司</w:t>
            </w:r>
          </w:p>
        </w:tc>
      </w:tr>
      <w:tr w14:paraId="463D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0E0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招租联系人及联系方式：刘女士 18380601069</w:t>
            </w:r>
          </w:p>
        </w:tc>
      </w:tr>
      <w:tr w14:paraId="7EC7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0C2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铺面名称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E0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铺面位置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3C61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拟招租经营项目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3764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建筑面积(平方米)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0E90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招租底价(元/平方米/月)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086B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期限（年）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263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保证金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5AE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交易方式</w:t>
            </w:r>
          </w:p>
        </w:tc>
      </w:tr>
      <w:tr w14:paraId="70E3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17A8E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上马望蜀邻里中心—上马+youngpark项目123号铺面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A3A0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科技城新区（直管区）财元路16号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17A6A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D8D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193.84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E9BE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57F6E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068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56A3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5C7A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07A3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4D5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14号附2号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52E95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休闲娱乐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E31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27E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76.22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14:paraId="09DD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036A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 w14:paraId="38D3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3BC9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72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一、租金递增规则：1.租赁五年（含）以内的商铺，租金单价从第四年起在上一年度租金单价的基础上逐年上涨5%。 2.租赁五年以上的商铺，租金单价每三年递增3%。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租赁期限：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租赁期限原则上不超过5年；用于商超、酒店、办学、办公、高档餐饮方面的大宗房产等特殊情形，承租方需要投入大额资金装修改造的等特殊情况可以适当延长，原则上不超过10年，到期后重新公开竞争招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租金缴纳周期：季付/半年付/年付。</w:t>
            </w:r>
          </w:p>
          <w:p w14:paraId="5B4D4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本项目装修期为1-3个月，养商期为1-6个月，每个铺面装修期期限视租赁面积评定，养商期视店铺面积、位置、品牌综合评定。</w:t>
            </w:r>
          </w:p>
        </w:tc>
      </w:tr>
    </w:tbl>
    <w:p w14:paraId="6511BE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8379C"/>
    <w:rsid w:val="1BF82D2C"/>
    <w:rsid w:val="75B8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522</Characters>
  <Lines>0</Lines>
  <Paragraphs>0</Paragraphs>
  <TotalTime>3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2026-07-15T06:25:00Z</dcterms:created>
  <dc:creator>Administrator</dc:creator>
  <cp:lastModifiedBy>龚建萍</cp:lastModifiedBy>
  <dcterms:modified xsi:type="dcterms:W3CDTF">2026-07-15T06:32:52Z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8992DDD2C6354A0492B1CDEEFC9DF4FC_11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