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333AC3">
      <w:pP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附件1.招租铺面明细</w:t>
      </w:r>
    </w:p>
    <w:tbl>
      <w:tblPr>
        <w:tblStyle w:val="5"/>
        <w:tblW w:w="585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1835"/>
        <w:gridCol w:w="1206"/>
        <w:gridCol w:w="1156"/>
        <w:gridCol w:w="1237"/>
        <w:gridCol w:w="1424"/>
        <w:gridCol w:w="1172"/>
        <w:gridCol w:w="1541"/>
        <w:gridCol w:w="801"/>
      </w:tblGrid>
      <w:tr w14:paraId="00644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90" w:hRule="atLeast"/>
          <w:jc w:val="center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14:paraId="2BEEC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招租人：绵阳新投实业有限责任公司</w:t>
            </w:r>
          </w:p>
        </w:tc>
      </w:tr>
      <w:tr w14:paraId="463DB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00E03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招租联系人及联系方式：刘女士 18380601069</w:t>
            </w:r>
          </w:p>
        </w:tc>
      </w:tr>
      <w:tr w14:paraId="7EC76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884" w:type="pct"/>
            <w:shd w:val="clear" w:color="auto" w:fill="auto"/>
            <w:vAlign w:val="center"/>
          </w:tcPr>
          <w:p w14:paraId="50C23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铺面名称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48E03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铺面位置</w:t>
            </w:r>
          </w:p>
        </w:tc>
        <w:tc>
          <w:tcPr>
            <w:tcW w:w="557" w:type="pct"/>
            <w:shd w:val="clear" w:color="auto" w:fill="auto"/>
            <w:vAlign w:val="center"/>
          </w:tcPr>
          <w:p w14:paraId="63C61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拟招租经营项目</w:t>
            </w:r>
          </w:p>
        </w:tc>
        <w:tc>
          <w:tcPr>
            <w:tcW w:w="596" w:type="pct"/>
            <w:shd w:val="clear" w:color="auto" w:fill="auto"/>
            <w:vAlign w:val="center"/>
          </w:tcPr>
          <w:p w14:paraId="37644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建筑面积(平方米)</w:t>
            </w:r>
          </w:p>
        </w:tc>
        <w:tc>
          <w:tcPr>
            <w:tcW w:w="686" w:type="pct"/>
            <w:shd w:val="clear" w:color="auto" w:fill="auto"/>
            <w:vAlign w:val="center"/>
          </w:tcPr>
          <w:p w14:paraId="0E90E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招租底价(元/平方米/月)</w:t>
            </w:r>
          </w:p>
        </w:tc>
        <w:tc>
          <w:tcPr>
            <w:tcW w:w="564" w:type="pct"/>
            <w:shd w:val="clear" w:color="auto" w:fill="auto"/>
            <w:vAlign w:val="center"/>
          </w:tcPr>
          <w:p w14:paraId="086BD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租赁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期限（年）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4263A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履约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保证金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25AED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交易方式</w:t>
            </w:r>
          </w:p>
        </w:tc>
      </w:tr>
      <w:tr w14:paraId="5C7A3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884" w:type="pct"/>
            <w:shd w:val="clear" w:color="auto" w:fill="auto"/>
            <w:vAlign w:val="center"/>
          </w:tcPr>
          <w:p w14:paraId="07A3A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上马望蜀邻里中心—上马+youngpark项目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号铺面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24D50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科技城新区（直管区）财元路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14号附2号</w:t>
            </w:r>
          </w:p>
        </w:tc>
        <w:tc>
          <w:tcPr>
            <w:tcW w:w="557" w:type="pct"/>
            <w:shd w:val="clear" w:color="auto" w:fill="auto"/>
            <w:noWrap/>
            <w:vAlign w:val="center"/>
          </w:tcPr>
          <w:p w14:paraId="52E95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休闲娱乐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28E31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686" w:type="pct"/>
            <w:shd w:val="clear" w:color="auto" w:fill="auto"/>
            <w:noWrap/>
            <w:vAlign w:val="center"/>
          </w:tcPr>
          <w:p w14:paraId="127E8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76.22</w:t>
            </w:r>
          </w:p>
        </w:tc>
        <w:tc>
          <w:tcPr>
            <w:tcW w:w="564" w:type="pct"/>
            <w:shd w:val="clear" w:color="auto" w:fill="auto"/>
            <w:noWrap/>
            <w:vAlign w:val="center"/>
          </w:tcPr>
          <w:p w14:paraId="09DDA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3-10年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4036A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等同于第一期租金的金额。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 w14:paraId="38D3D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转账</w:t>
            </w:r>
          </w:p>
        </w:tc>
      </w:tr>
      <w:tr w14:paraId="3BC97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8"/>
            <w:vMerge w:val="restart"/>
            <w:shd w:val="clear" w:color="auto" w:fill="auto"/>
            <w:vAlign w:val="center"/>
          </w:tcPr>
          <w:p w14:paraId="772F2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一、租金递增规则：1.租赁五年（含）以内的商铺，租金单价从第四年起在上一年度租金单价的基础上逐年上涨5%。 2.租赁五年以上的商铺，租金单价每三年递增3%。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租赁期限：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租赁期限原则上不超过5年；用于商超、酒店、办学、办公、高档餐饮方面的大宗房产等特殊情形，承租方需要投入大额资金装修改造的等特殊情况可以适当延长，原则上不超过10年，到期后重新公开竞争招租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租金缴纳周期：季付/半年付/年付。</w:t>
            </w:r>
          </w:p>
          <w:p w14:paraId="5B4D4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本项目装修期为1-3个月，养商期为1-6个月，每个铺面装修期期限视租赁面积评定，养商期视店铺面积、位置、品牌综合评定。</w:t>
            </w:r>
          </w:p>
        </w:tc>
      </w:tr>
      <w:tr w14:paraId="5E002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8"/>
            <w:vMerge w:val="continue"/>
            <w:shd w:val="clear" w:color="auto" w:fill="auto"/>
            <w:vAlign w:val="center"/>
          </w:tcPr>
          <w:p w14:paraId="3EA579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9B5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8"/>
            <w:vMerge w:val="continue"/>
            <w:shd w:val="clear" w:color="auto" w:fill="auto"/>
            <w:vAlign w:val="center"/>
          </w:tcPr>
          <w:p w14:paraId="63EA74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04F8ED1"/>
    <w:p w14:paraId="40DAC39F">
      <w:bookmarkStart w:id="0" w:name="_GoBack"/>
      <w:bookmarkEnd w:id="0"/>
    </w:p>
    <w:sectPr>
      <w:footerReference r:id="rId5" w:type="default"/>
      <w:pgSz w:w="11906" w:h="16838"/>
      <w:pgMar w:top="2098" w:right="1587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75348C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CC76BC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CC76BC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A12968"/>
    <w:rsid w:val="29A12968"/>
    <w:rsid w:val="2F40114D"/>
    <w:rsid w:val="370F0E6B"/>
    <w:rsid w:val="69D2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Normal Indent"/>
    <w:basedOn w:val="1"/>
    <w:qFormat/>
    <w:uiPriority w:val="0"/>
    <w:pPr>
      <w:snapToGrid w:val="0"/>
      <w:spacing w:line="300" w:lineRule="auto"/>
      <w:ind w:firstLine="556"/>
    </w:pPr>
    <w:rPr>
      <w:rFonts w:ascii="仿宋_GB2312" w:eastAsia="仿宋_GB231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457</Words>
  <Characters>516</Characters>
  <Lines>0</Lines>
  <Paragraphs>0</Paragraphs>
  <TotalTime>43</TotalTime>
  <ScaleCrop>false</ScaleCrop>
  <LinksUpToDate>false</LinksUpToDate>
  <CharactersWithSpaces>518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2026-01-29T07:51:00Z</dcterms:created>
  <dc:creator>龚建萍</dc:creator>
  <cp:lastModifiedBy>Administrator</cp:lastModifiedBy>
  <cp:lastPrinted>2026-05-11T02:06:03Z</cp:lastPrinted>
  <dcterms:modified xsi:type="dcterms:W3CDTF">2026-05-11T04:33:38Z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7AE02BA7C61C4022BBA700D1C1AF5D7D_13</vt:lpwstr>
  </property>
  <property fmtid="{D5CDD505-2E9C-101B-9397-08002B2CF9AE}" pid="4" name="KSOTemplateDocerSaveRecord">
    <vt:lpwstr>eyJoZGlkIjoiMjgzMjU3YjJkMWM3ZTFiOTQ3MWIyNmU2OGExZDdkMmEiLCJ1c2VySWQiOiIxMDAzODA2NDIyIn0=</vt:lpwstr>
  </property>
</Properties>
</file>