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33AC3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附件1.招租铺面明细</w:t>
      </w:r>
    </w:p>
    <w:tbl>
      <w:tblPr>
        <w:tblStyle w:val="4"/>
        <w:tblW w:w="58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747"/>
        <w:gridCol w:w="1148"/>
        <w:gridCol w:w="1101"/>
        <w:gridCol w:w="1178"/>
        <w:gridCol w:w="1356"/>
        <w:gridCol w:w="1116"/>
        <w:gridCol w:w="1467"/>
        <w:gridCol w:w="763"/>
      </w:tblGrid>
      <w:tr w14:paraId="0064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14:paraId="2BEE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招租人：绵阳新投实业有限责任公司</w:t>
            </w:r>
          </w:p>
        </w:tc>
      </w:tr>
      <w:tr w14:paraId="463D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0E0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招租联系人及联系方式：刘女士 18380601069</w:t>
            </w:r>
          </w:p>
        </w:tc>
      </w:tr>
      <w:tr w14:paraId="7EC7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50C2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E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铺面位置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63C6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拟招租经营项目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3764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建筑面积(平方米)</w:t>
            </w:r>
          </w:p>
        </w:tc>
        <w:tc>
          <w:tcPr>
            <w:tcW w:w="686" w:type="pct"/>
            <w:shd w:val="clear" w:color="auto" w:fill="auto"/>
            <w:vAlign w:val="center"/>
          </w:tcPr>
          <w:p w14:paraId="0E90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招租底价(元/平方米/月)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086B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合同签订期限（年）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263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保证金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A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交易方式</w:t>
            </w:r>
          </w:p>
        </w:tc>
      </w:tr>
      <w:tr w14:paraId="6BEB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6EA6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593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094AE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潮流活力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5BE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193.84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73F6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8361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76C2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46DFB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5C7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07A3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D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2E9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8E3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206.97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127E8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9DD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4036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8D3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2C5B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0E1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A7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6F2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茶食咖饮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EE1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50.46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3B86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537E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1A1B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67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6C12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884" w:type="pct"/>
            <w:shd w:val="clear" w:color="auto" w:fill="auto"/>
            <w:vAlign w:val="center"/>
          </w:tcPr>
          <w:p w14:paraId="2CE9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上马望蜀邻里中心—上马+youngpark项目413B号铺面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89A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科技城新区（直管区）财元路北侧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68B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休闲娱乐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754E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124.77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 w14:paraId="04A0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14:paraId="08ECE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原则上不超过5年</w:t>
            </w:r>
          </w:p>
        </w:tc>
        <w:tc>
          <w:tcPr>
            <w:tcW w:w="742" w:type="pct"/>
            <w:shd w:val="clear" w:color="auto" w:fill="auto"/>
            <w:noWrap/>
            <w:vAlign w:val="center"/>
          </w:tcPr>
          <w:p w14:paraId="6F98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等同于第一期租金的金额。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0E46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转账</w:t>
            </w:r>
          </w:p>
        </w:tc>
      </w:tr>
      <w:tr w14:paraId="3BC9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restart"/>
            <w:shd w:val="clear" w:color="auto" w:fill="auto"/>
            <w:vAlign w:val="center"/>
          </w:tcPr>
          <w:p w14:paraId="772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一、租金递增规则：1.租赁五年（含）以内的商铺，租金单价从第四年起在上一年度租金单价的基础上逐年上涨5%。 2.租赁五年以上的商铺，租金单价每三年递增3%。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二、本项目装修期为1-3个月，养商期为1-6个月，每个铺面装修期期限视租赁面积评定，养商期视店铺面积、位置、品牌综合评定。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一般租赁期限原则上不超过5年；用于商超、酒店、办学、办公、高档餐饮方面的大宗房产等特殊情形，承租方需要投入大额资金装修改造的等特殊情况可以适当延长，原则上不超过10年，到期后重新公开竞争招租。</w:t>
            </w:r>
          </w:p>
        </w:tc>
      </w:tr>
      <w:tr w14:paraId="5E00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3EA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B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8"/>
            <w:vMerge w:val="continue"/>
            <w:shd w:val="clear" w:color="auto" w:fill="auto"/>
            <w:vAlign w:val="center"/>
          </w:tcPr>
          <w:p w14:paraId="63EA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04F8E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F16BD"/>
    <w:rsid w:val="0A4F16BD"/>
    <w:rsid w:val="38E37BEE"/>
    <w:rsid w:val="51915372"/>
    <w:rsid w:val="5302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891</Characters>
  <Lines>0</Lines>
  <Paragraphs>0</Paragraphs>
  <TotalTime>0</TotalTime>
  <ScaleCrop>false</ScaleCrop>
  <LinksUpToDate>false</LinksUpToDate>
  <CharactersWithSpaces>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2025-09-01T01:48:00Z</dcterms:created>
  <dc:creator>甜栀</dc:creator>
  <cp:lastModifiedBy>WPS_1567399892</cp:lastModifiedBy>
  <cp:lastPrinted>2025-10-10T01:28:00Z</cp:lastPrinted>
  <dcterms:modified xsi:type="dcterms:W3CDTF">2025-11-25T07:42:39Z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859FEFE6457B4061B4386358461F78A5_13</vt:lpwstr>
  </property>
  <property fmtid="{D5CDD505-2E9C-101B-9397-08002B2CF9AE}" pid="4" name="KSOTemplateDocerSaveRecord">
    <vt:lpwstr>eyJoZGlkIjoiMjgzMjU3YjJkMWM3ZTFiOTQ3MWIyNmU2OGExZDdkMmEiLCJ1c2VySWQiOiI2NDkwNzE0MDYifQ==</vt:lpwstr>
  </property>
</Properties>
</file>